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724" w:rsidRDefault="003E7724">
      <w:r w:rsidRPr="003E7724">
        <w:t>http://www.moe.gov.cn/srcsite/A02/s5911/moe_621/201607/t20160718_272156.html</w:t>
      </w:r>
    </w:p>
    <w:tbl>
      <w:tblPr>
        <w:tblW w:w="8364" w:type="dxa"/>
        <w:tblCellSpacing w:w="0" w:type="dxa"/>
        <w:tblCellMar>
          <w:left w:w="0" w:type="dxa"/>
          <w:right w:w="0" w:type="dxa"/>
        </w:tblCellMar>
        <w:tblLook w:val="04A0" w:firstRow="1" w:lastRow="0" w:firstColumn="1" w:lastColumn="0" w:noHBand="0" w:noVBand="1"/>
      </w:tblPr>
      <w:tblGrid>
        <w:gridCol w:w="1276"/>
        <w:gridCol w:w="2430"/>
        <w:gridCol w:w="1080"/>
        <w:gridCol w:w="1425"/>
        <w:gridCol w:w="1160"/>
        <w:gridCol w:w="993"/>
      </w:tblGrid>
      <w:tr w:rsidR="00673A2F" w:rsidRPr="00673A2F" w:rsidTr="00F36613">
        <w:trPr>
          <w:tblCellSpacing w:w="0" w:type="dxa"/>
        </w:trPr>
        <w:tc>
          <w:tcPr>
            <w:tcW w:w="1276" w:type="dxa"/>
            <w:hideMark/>
          </w:tcPr>
          <w:p w:rsidR="00673A2F" w:rsidRPr="00673A2F" w:rsidRDefault="00673A2F" w:rsidP="00673A2F">
            <w:pPr>
              <w:widowControl/>
              <w:spacing w:line="375" w:lineRule="atLeast"/>
              <w:jc w:val="left"/>
              <w:rPr>
                <w:rFonts w:ascii="宋体" w:eastAsia="宋体" w:hAnsi="宋体" w:cs="宋体"/>
                <w:b/>
                <w:bCs/>
                <w:color w:val="4B4B4B"/>
                <w:kern w:val="0"/>
                <w:szCs w:val="21"/>
              </w:rPr>
            </w:pPr>
            <w:r w:rsidRPr="00673A2F">
              <w:rPr>
                <w:rFonts w:ascii="宋体" w:eastAsia="宋体" w:hAnsi="宋体" w:cs="宋体" w:hint="eastAsia"/>
                <w:b/>
                <w:bCs/>
                <w:color w:val="4B4B4B"/>
                <w:kern w:val="0"/>
                <w:szCs w:val="21"/>
              </w:rPr>
              <w:t>信息名称：</w:t>
            </w:r>
          </w:p>
        </w:tc>
        <w:tc>
          <w:tcPr>
            <w:tcW w:w="7088" w:type="dxa"/>
            <w:gridSpan w:val="5"/>
            <w:hideMark/>
          </w:tcPr>
          <w:p w:rsidR="00673A2F" w:rsidRPr="00673A2F" w:rsidRDefault="00673A2F" w:rsidP="00673A2F">
            <w:pPr>
              <w:widowControl/>
              <w:spacing w:line="375" w:lineRule="atLeast"/>
              <w:jc w:val="left"/>
              <w:rPr>
                <w:rFonts w:ascii="宋体" w:eastAsia="宋体" w:hAnsi="宋体" w:cs="宋体"/>
                <w:color w:val="4B4B4B"/>
                <w:kern w:val="0"/>
                <w:szCs w:val="21"/>
              </w:rPr>
            </w:pPr>
            <w:r w:rsidRPr="00673A2F">
              <w:rPr>
                <w:rFonts w:ascii="宋体" w:eastAsia="宋体" w:hAnsi="宋体" w:cs="宋体" w:hint="eastAsia"/>
                <w:color w:val="4B4B4B"/>
                <w:kern w:val="0"/>
                <w:szCs w:val="21"/>
              </w:rPr>
              <w:t>高等学校预防与处理学术不端行为办法</w:t>
            </w:r>
          </w:p>
        </w:tc>
      </w:tr>
      <w:tr w:rsidR="00673A2F" w:rsidRPr="00673A2F" w:rsidTr="00F36613">
        <w:trPr>
          <w:tblCellSpacing w:w="0" w:type="dxa"/>
        </w:trPr>
        <w:tc>
          <w:tcPr>
            <w:tcW w:w="1276" w:type="dxa"/>
            <w:hideMark/>
          </w:tcPr>
          <w:p w:rsidR="00673A2F" w:rsidRPr="00673A2F" w:rsidRDefault="00673A2F" w:rsidP="00673A2F">
            <w:pPr>
              <w:widowControl/>
              <w:spacing w:line="375" w:lineRule="atLeast"/>
              <w:jc w:val="left"/>
              <w:rPr>
                <w:rFonts w:ascii="宋体" w:eastAsia="宋体" w:hAnsi="宋体" w:cs="宋体"/>
                <w:b/>
                <w:bCs/>
                <w:color w:val="4B4B4B"/>
                <w:kern w:val="0"/>
                <w:szCs w:val="21"/>
              </w:rPr>
            </w:pPr>
            <w:r w:rsidRPr="00673A2F">
              <w:rPr>
                <w:rFonts w:ascii="宋体" w:eastAsia="宋体" w:hAnsi="宋体" w:cs="宋体" w:hint="eastAsia"/>
                <w:b/>
                <w:bCs/>
                <w:color w:val="4B4B4B"/>
                <w:kern w:val="0"/>
                <w:szCs w:val="21"/>
              </w:rPr>
              <w:t>信息索引：</w:t>
            </w:r>
          </w:p>
        </w:tc>
        <w:tc>
          <w:tcPr>
            <w:tcW w:w="2430" w:type="dxa"/>
            <w:hideMark/>
          </w:tcPr>
          <w:p w:rsidR="00673A2F" w:rsidRPr="00673A2F" w:rsidRDefault="00673A2F" w:rsidP="00673A2F">
            <w:pPr>
              <w:widowControl/>
              <w:spacing w:line="375" w:lineRule="atLeast"/>
              <w:jc w:val="left"/>
              <w:rPr>
                <w:rFonts w:ascii="宋体" w:eastAsia="宋体" w:hAnsi="宋体" w:cs="宋体"/>
                <w:color w:val="4B4B4B"/>
                <w:kern w:val="0"/>
                <w:szCs w:val="21"/>
              </w:rPr>
            </w:pPr>
            <w:r w:rsidRPr="00673A2F">
              <w:rPr>
                <w:rFonts w:ascii="宋体" w:eastAsia="宋体" w:hAnsi="宋体" w:cs="宋体" w:hint="eastAsia"/>
                <w:color w:val="4B4B4B"/>
                <w:kern w:val="0"/>
                <w:szCs w:val="21"/>
              </w:rPr>
              <w:t>360A02-03-2016-0018-1</w:t>
            </w:r>
          </w:p>
        </w:tc>
        <w:tc>
          <w:tcPr>
            <w:tcW w:w="1080" w:type="dxa"/>
            <w:hideMark/>
          </w:tcPr>
          <w:p w:rsidR="00673A2F" w:rsidRPr="00673A2F" w:rsidRDefault="00673A2F" w:rsidP="00673A2F">
            <w:pPr>
              <w:widowControl/>
              <w:spacing w:line="375" w:lineRule="atLeast"/>
              <w:jc w:val="left"/>
              <w:rPr>
                <w:rFonts w:ascii="宋体" w:eastAsia="宋体" w:hAnsi="宋体" w:cs="宋体"/>
                <w:b/>
                <w:bCs/>
                <w:color w:val="4B4B4B"/>
                <w:kern w:val="0"/>
                <w:szCs w:val="21"/>
              </w:rPr>
            </w:pPr>
            <w:r w:rsidRPr="00673A2F">
              <w:rPr>
                <w:rFonts w:ascii="宋体" w:eastAsia="宋体" w:hAnsi="宋体" w:cs="宋体" w:hint="eastAsia"/>
                <w:b/>
                <w:bCs/>
                <w:color w:val="4B4B4B"/>
                <w:kern w:val="0"/>
                <w:szCs w:val="21"/>
              </w:rPr>
              <w:t>生成日期：</w:t>
            </w:r>
          </w:p>
        </w:tc>
        <w:tc>
          <w:tcPr>
            <w:tcW w:w="1425" w:type="dxa"/>
            <w:hideMark/>
          </w:tcPr>
          <w:p w:rsidR="00673A2F" w:rsidRPr="00673A2F" w:rsidRDefault="00673A2F" w:rsidP="00673A2F">
            <w:pPr>
              <w:widowControl/>
              <w:spacing w:line="375" w:lineRule="atLeast"/>
              <w:jc w:val="left"/>
              <w:rPr>
                <w:rFonts w:ascii="宋体" w:eastAsia="宋体" w:hAnsi="宋体" w:cs="宋体"/>
                <w:color w:val="4B4B4B"/>
                <w:kern w:val="0"/>
                <w:szCs w:val="21"/>
              </w:rPr>
            </w:pPr>
            <w:r w:rsidRPr="00673A2F">
              <w:rPr>
                <w:rFonts w:ascii="宋体" w:eastAsia="宋体" w:hAnsi="宋体" w:cs="宋体" w:hint="eastAsia"/>
                <w:color w:val="4B4B4B"/>
                <w:kern w:val="0"/>
                <w:szCs w:val="21"/>
              </w:rPr>
              <w:t>2016-06-16</w:t>
            </w:r>
          </w:p>
        </w:tc>
        <w:tc>
          <w:tcPr>
            <w:tcW w:w="1160" w:type="dxa"/>
          </w:tcPr>
          <w:p w:rsidR="00673A2F" w:rsidRPr="00673A2F" w:rsidRDefault="00673A2F" w:rsidP="00673A2F">
            <w:pPr>
              <w:widowControl/>
              <w:spacing w:line="375" w:lineRule="atLeast"/>
              <w:jc w:val="left"/>
              <w:rPr>
                <w:rFonts w:ascii="宋体" w:eastAsia="宋体" w:hAnsi="宋体" w:cs="宋体"/>
                <w:b/>
                <w:bCs/>
                <w:color w:val="4B4B4B"/>
                <w:kern w:val="0"/>
                <w:szCs w:val="21"/>
              </w:rPr>
            </w:pPr>
          </w:p>
        </w:tc>
        <w:tc>
          <w:tcPr>
            <w:tcW w:w="993" w:type="dxa"/>
          </w:tcPr>
          <w:p w:rsidR="00673A2F" w:rsidRPr="00673A2F" w:rsidRDefault="00673A2F" w:rsidP="00673A2F">
            <w:pPr>
              <w:widowControl/>
              <w:spacing w:line="375" w:lineRule="atLeast"/>
              <w:jc w:val="left"/>
              <w:rPr>
                <w:rFonts w:ascii="宋体" w:eastAsia="宋体" w:hAnsi="宋体" w:cs="宋体"/>
                <w:color w:val="4B4B4B"/>
                <w:kern w:val="0"/>
                <w:szCs w:val="21"/>
              </w:rPr>
            </w:pPr>
          </w:p>
        </w:tc>
        <w:bookmarkStart w:id="0" w:name="_GoBack"/>
        <w:bookmarkEnd w:id="0"/>
      </w:tr>
      <w:tr w:rsidR="00673A2F" w:rsidRPr="00673A2F" w:rsidTr="00F36613">
        <w:trPr>
          <w:tblCellSpacing w:w="0" w:type="dxa"/>
        </w:trPr>
        <w:tc>
          <w:tcPr>
            <w:tcW w:w="1276" w:type="dxa"/>
            <w:hideMark/>
          </w:tcPr>
          <w:p w:rsidR="00673A2F" w:rsidRPr="00673A2F" w:rsidRDefault="00673A2F" w:rsidP="00673A2F">
            <w:pPr>
              <w:widowControl/>
              <w:spacing w:line="375" w:lineRule="atLeast"/>
              <w:jc w:val="left"/>
              <w:rPr>
                <w:rFonts w:ascii="宋体" w:eastAsia="宋体" w:hAnsi="宋体" w:cs="宋体"/>
                <w:b/>
                <w:bCs/>
                <w:color w:val="4B4B4B"/>
                <w:kern w:val="0"/>
                <w:szCs w:val="21"/>
              </w:rPr>
            </w:pPr>
            <w:r w:rsidRPr="00673A2F">
              <w:rPr>
                <w:rFonts w:ascii="宋体" w:eastAsia="宋体" w:hAnsi="宋体" w:cs="宋体" w:hint="eastAsia"/>
                <w:b/>
                <w:bCs/>
                <w:color w:val="4B4B4B"/>
                <w:kern w:val="0"/>
                <w:szCs w:val="21"/>
              </w:rPr>
              <w:t>发文字号：</w:t>
            </w:r>
          </w:p>
        </w:tc>
        <w:tc>
          <w:tcPr>
            <w:tcW w:w="2430" w:type="dxa"/>
            <w:hideMark/>
          </w:tcPr>
          <w:p w:rsidR="00673A2F" w:rsidRPr="00673A2F" w:rsidRDefault="00673A2F" w:rsidP="00673A2F">
            <w:pPr>
              <w:widowControl/>
              <w:spacing w:line="375" w:lineRule="atLeast"/>
              <w:jc w:val="left"/>
              <w:rPr>
                <w:rFonts w:ascii="宋体" w:eastAsia="宋体" w:hAnsi="宋体" w:cs="宋体"/>
                <w:color w:val="4B4B4B"/>
                <w:kern w:val="0"/>
                <w:szCs w:val="21"/>
              </w:rPr>
            </w:pPr>
            <w:r w:rsidRPr="00673A2F">
              <w:rPr>
                <w:rFonts w:ascii="宋体" w:eastAsia="宋体" w:hAnsi="宋体" w:cs="宋体" w:hint="eastAsia"/>
                <w:color w:val="4B4B4B"/>
                <w:kern w:val="0"/>
                <w:szCs w:val="21"/>
              </w:rPr>
              <w:t>中华人民共和国教育部令第40号</w:t>
            </w:r>
          </w:p>
        </w:tc>
        <w:tc>
          <w:tcPr>
            <w:tcW w:w="1080" w:type="dxa"/>
            <w:hideMark/>
          </w:tcPr>
          <w:p w:rsidR="00673A2F" w:rsidRPr="00673A2F" w:rsidRDefault="00673A2F" w:rsidP="00673A2F">
            <w:pPr>
              <w:widowControl/>
              <w:spacing w:line="375" w:lineRule="atLeast"/>
              <w:jc w:val="left"/>
              <w:rPr>
                <w:rFonts w:ascii="宋体" w:eastAsia="宋体" w:hAnsi="宋体" w:cs="宋体"/>
                <w:b/>
                <w:bCs/>
                <w:color w:val="4B4B4B"/>
                <w:kern w:val="0"/>
                <w:szCs w:val="21"/>
              </w:rPr>
            </w:pPr>
            <w:r w:rsidRPr="00673A2F">
              <w:rPr>
                <w:rFonts w:ascii="宋体" w:eastAsia="宋体" w:hAnsi="宋体" w:cs="宋体" w:hint="eastAsia"/>
                <w:b/>
                <w:bCs/>
                <w:color w:val="4B4B4B"/>
                <w:kern w:val="0"/>
                <w:szCs w:val="21"/>
              </w:rPr>
              <w:t>信息类别：</w:t>
            </w:r>
          </w:p>
        </w:tc>
        <w:tc>
          <w:tcPr>
            <w:tcW w:w="3578" w:type="dxa"/>
            <w:gridSpan w:val="3"/>
            <w:hideMark/>
          </w:tcPr>
          <w:p w:rsidR="00673A2F" w:rsidRPr="00673A2F" w:rsidRDefault="00673A2F" w:rsidP="00673A2F">
            <w:pPr>
              <w:widowControl/>
              <w:spacing w:line="375" w:lineRule="atLeast"/>
              <w:jc w:val="left"/>
              <w:rPr>
                <w:rFonts w:ascii="宋体" w:eastAsia="宋体" w:hAnsi="宋体" w:cs="宋体"/>
                <w:color w:val="4B4B4B"/>
                <w:kern w:val="0"/>
                <w:szCs w:val="21"/>
              </w:rPr>
            </w:pPr>
            <w:r w:rsidRPr="00673A2F">
              <w:rPr>
                <w:rFonts w:ascii="宋体" w:eastAsia="宋体" w:hAnsi="宋体" w:cs="宋体" w:hint="eastAsia"/>
                <w:color w:val="4B4B4B"/>
                <w:kern w:val="0"/>
                <w:szCs w:val="21"/>
              </w:rPr>
              <w:t>部门规章</w:t>
            </w:r>
          </w:p>
        </w:tc>
      </w:tr>
      <w:tr w:rsidR="00F36613" w:rsidRPr="00673A2F" w:rsidTr="00F36613">
        <w:trPr>
          <w:tblCellSpacing w:w="0" w:type="dxa"/>
        </w:trPr>
        <w:tc>
          <w:tcPr>
            <w:tcW w:w="1276" w:type="dxa"/>
          </w:tcPr>
          <w:p w:rsidR="00F36613" w:rsidRPr="00673A2F" w:rsidRDefault="00F36613" w:rsidP="00F36613">
            <w:pPr>
              <w:widowControl/>
              <w:spacing w:line="375" w:lineRule="atLeast"/>
              <w:jc w:val="left"/>
              <w:rPr>
                <w:rFonts w:ascii="宋体" w:eastAsia="宋体" w:hAnsi="宋体" w:cs="宋体"/>
                <w:b/>
                <w:bCs/>
                <w:color w:val="4B4B4B"/>
                <w:kern w:val="0"/>
                <w:szCs w:val="21"/>
              </w:rPr>
            </w:pPr>
            <w:r w:rsidRPr="00673A2F">
              <w:rPr>
                <w:rFonts w:ascii="宋体" w:eastAsia="宋体" w:hAnsi="宋体" w:cs="宋体" w:hint="eastAsia"/>
                <w:b/>
                <w:bCs/>
                <w:color w:val="4B4B4B"/>
                <w:kern w:val="0"/>
                <w:szCs w:val="21"/>
              </w:rPr>
              <w:t>发文机构：</w:t>
            </w:r>
          </w:p>
        </w:tc>
        <w:tc>
          <w:tcPr>
            <w:tcW w:w="2430" w:type="dxa"/>
          </w:tcPr>
          <w:p w:rsidR="00F36613" w:rsidRPr="00673A2F" w:rsidRDefault="00F36613" w:rsidP="00F36613">
            <w:pPr>
              <w:widowControl/>
              <w:spacing w:line="375" w:lineRule="atLeast"/>
              <w:jc w:val="left"/>
              <w:rPr>
                <w:rFonts w:ascii="宋体" w:eastAsia="宋体" w:hAnsi="宋体" w:cs="宋体"/>
                <w:color w:val="4B4B4B"/>
                <w:kern w:val="0"/>
                <w:szCs w:val="21"/>
              </w:rPr>
            </w:pPr>
            <w:r w:rsidRPr="00673A2F">
              <w:rPr>
                <w:rFonts w:ascii="宋体" w:eastAsia="宋体" w:hAnsi="宋体" w:cs="宋体" w:hint="eastAsia"/>
                <w:color w:val="4B4B4B"/>
                <w:kern w:val="0"/>
                <w:szCs w:val="21"/>
              </w:rPr>
              <w:t>中华人民共和国教育部</w:t>
            </w:r>
          </w:p>
        </w:tc>
        <w:tc>
          <w:tcPr>
            <w:tcW w:w="1080" w:type="dxa"/>
          </w:tcPr>
          <w:p w:rsidR="00F36613" w:rsidRPr="00673A2F" w:rsidRDefault="00F36613" w:rsidP="00F36613">
            <w:pPr>
              <w:widowControl/>
              <w:spacing w:line="375" w:lineRule="atLeast"/>
              <w:jc w:val="left"/>
              <w:rPr>
                <w:rFonts w:ascii="宋体" w:eastAsia="宋体" w:hAnsi="宋体" w:cs="宋体"/>
                <w:b/>
                <w:bCs/>
                <w:color w:val="4B4B4B"/>
                <w:kern w:val="0"/>
                <w:szCs w:val="21"/>
              </w:rPr>
            </w:pPr>
          </w:p>
        </w:tc>
        <w:tc>
          <w:tcPr>
            <w:tcW w:w="3578" w:type="dxa"/>
            <w:gridSpan w:val="3"/>
          </w:tcPr>
          <w:p w:rsidR="00F36613" w:rsidRPr="00673A2F" w:rsidRDefault="00F36613" w:rsidP="00F36613">
            <w:pPr>
              <w:widowControl/>
              <w:spacing w:line="375" w:lineRule="atLeast"/>
              <w:jc w:val="left"/>
              <w:rPr>
                <w:rFonts w:ascii="宋体" w:eastAsia="宋体" w:hAnsi="宋体" w:cs="宋体"/>
                <w:color w:val="4B4B4B"/>
                <w:kern w:val="0"/>
                <w:szCs w:val="21"/>
              </w:rPr>
            </w:pPr>
          </w:p>
        </w:tc>
      </w:tr>
      <w:tr w:rsidR="00F36613" w:rsidRPr="00673A2F" w:rsidTr="00F36613">
        <w:trPr>
          <w:tblCellSpacing w:w="0" w:type="dxa"/>
        </w:trPr>
        <w:tc>
          <w:tcPr>
            <w:tcW w:w="1276" w:type="dxa"/>
            <w:hideMark/>
          </w:tcPr>
          <w:p w:rsidR="00F36613" w:rsidRPr="00673A2F" w:rsidRDefault="00F36613" w:rsidP="00F36613">
            <w:pPr>
              <w:widowControl/>
              <w:spacing w:line="375" w:lineRule="atLeast"/>
              <w:jc w:val="left"/>
              <w:rPr>
                <w:rFonts w:ascii="宋体" w:eastAsia="宋体" w:hAnsi="宋体" w:cs="宋体"/>
                <w:b/>
                <w:bCs/>
                <w:color w:val="4B4B4B"/>
                <w:kern w:val="0"/>
                <w:szCs w:val="21"/>
              </w:rPr>
            </w:pPr>
            <w:r w:rsidRPr="00673A2F">
              <w:rPr>
                <w:rFonts w:ascii="宋体" w:eastAsia="宋体" w:hAnsi="宋体" w:cs="宋体" w:hint="eastAsia"/>
                <w:b/>
                <w:bCs/>
                <w:color w:val="4B4B4B"/>
                <w:kern w:val="0"/>
                <w:szCs w:val="21"/>
              </w:rPr>
              <w:t>内容概述：</w:t>
            </w:r>
          </w:p>
        </w:tc>
        <w:tc>
          <w:tcPr>
            <w:tcW w:w="7088" w:type="dxa"/>
            <w:gridSpan w:val="5"/>
            <w:hideMark/>
          </w:tcPr>
          <w:p w:rsidR="00F36613" w:rsidRPr="00673A2F" w:rsidRDefault="00F36613" w:rsidP="00F36613">
            <w:pPr>
              <w:widowControl/>
              <w:spacing w:line="375" w:lineRule="atLeast"/>
              <w:jc w:val="left"/>
              <w:rPr>
                <w:rFonts w:ascii="宋体" w:eastAsia="宋体" w:hAnsi="宋体" w:cs="宋体"/>
                <w:color w:val="4B4B4B"/>
                <w:kern w:val="0"/>
                <w:szCs w:val="21"/>
              </w:rPr>
            </w:pPr>
            <w:r w:rsidRPr="00673A2F">
              <w:rPr>
                <w:rFonts w:ascii="宋体" w:eastAsia="宋体" w:hAnsi="宋体" w:cs="宋体" w:hint="eastAsia"/>
                <w:color w:val="4B4B4B"/>
                <w:kern w:val="0"/>
                <w:szCs w:val="21"/>
              </w:rPr>
              <w:t>《高等学校预防与处理学术不端行为办法》经教育部2016年第14次部长办公会议审议通过，自2016年9月1日起施行。</w:t>
            </w:r>
          </w:p>
        </w:tc>
      </w:tr>
    </w:tbl>
    <w:p w:rsidR="00673A2F" w:rsidRPr="00673A2F" w:rsidRDefault="00673A2F" w:rsidP="00673A2F">
      <w:pPr>
        <w:widowControl/>
        <w:jc w:val="center"/>
        <w:outlineLvl w:val="0"/>
        <w:rPr>
          <w:rFonts w:ascii="微软雅黑" w:eastAsia="微软雅黑" w:hAnsi="微软雅黑" w:cs="宋体"/>
          <w:b/>
          <w:bCs/>
          <w:color w:val="4B4B4B"/>
          <w:kern w:val="36"/>
          <w:sz w:val="30"/>
          <w:szCs w:val="30"/>
        </w:rPr>
      </w:pPr>
      <w:r w:rsidRPr="00673A2F">
        <w:rPr>
          <w:rFonts w:ascii="微软雅黑" w:eastAsia="微软雅黑" w:hAnsi="微软雅黑" w:cs="宋体" w:hint="eastAsia"/>
          <w:b/>
          <w:bCs/>
          <w:color w:val="4B4B4B"/>
          <w:kern w:val="36"/>
          <w:sz w:val="30"/>
          <w:szCs w:val="30"/>
        </w:rPr>
        <w:t>高等学校预防与处理学术不端行为办法</w:t>
      </w:r>
    </w:p>
    <w:p w:rsidR="00673A2F" w:rsidRPr="00673A2F" w:rsidRDefault="00673A2F" w:rsidP="00673A2F">
      <w:pPr>
        <w:widowControl/>
        <w:spacing w:line="480" w:lineRule="atLeast"/>
        <w:jc w:val="right"/>
        <w:rPr>
          <w:rFonts w:ascii="微软雅黑" w:eastAsia="微软雅黑" w:hAnsi="微软雅黑" w:cs="宋体"/>
          <w:color w:val="4B4B4B"/>
          <w:kern w:val="0"/>
          <w:sz w:val="24"/>
          <w:szCs w:val="24"/>
        </w:rPr>
      </w:pPr>
      <w:r w:rsidRPr="00673A2F">
        <w:rPr>
          <w:rFonts w:ascii="微软雅黑" w:eastAsia="微软雅黑" w:hAnsi="微软雅黑" w:cs="宋体" w:hint="eastAsia"/>
          <w:color w:val="4B4B4B"/>
          <w:kern w:val="0"/>
          <w:sz w:val="24"/>
          <w:szCs w:val="24"/>
        </w:rPr>
        <w:t>中华人民共和国教育部令第40号</w:t>
      </w:r>
    </w:p>
    <w:p w:rsidR="00673A2F" w:rsidRPr="00673A2F" w:rsidRDefault="00673A2F" w:rsidP="00673A2F">
      <w:pPr>
        <w:widowControl/>
        <w:spacing w:line="480" w:lineRule="atLeast"/>
        <w:jc w:val="left"/>
        <w:rPr>
          <w:rFonts w:ascii="微软雅黑" w:eastAsia="微软雅黑" w:hAnsi="微软雅黑" w:cs="宋体"/>
          <w:color w:val="4B4B4B"/>
          <w:kern w:val="0"/>
          <w:sz w:val="24"/>
          <w:szCs w:val="24"/>
        </w:rPr>
      </w:pPr>
      <w:r w:rsidRPr="00673A2F">
        <w:rPr>
          <w:rFonts w:ascii="微软雅黑" w:eastAsia="微软雅黑" w:hAnsi="微软雅黑" w:cs="宋体" w:hint="eastAsia"/>
          <w:color w:val="4B4B4B"/>
          <w:kern w:val="0"/>
          <w:sz w:val="24"/>
          <w:szCs w:val="24"/>
        </w:rPr>
        <w:t xml:space="preserve">　　《高等学校预防与处理学术不端行为办法》已于2016年4月5日经教育部2016年第14次部长办公会议审议通过，现予发布，自2016年9月1日起施行。</w:t>
      </w:r>
    </w:p>
    <w:p w:rsidR="00673A2F" w:rsidRPr="00673A2F" w:rsidRDefault="00673A2F" w:rsidP="00673A2F">
      <w:pPr>
        <w:widowControl/>
        <w:spacing w:line="480" w:lineRule="atLeast"/>
        <w:jc w:val="right"/>
        <w:rPr>
          <w:rFonts w:ascii="微软雅黑" w:eastAsia="微软雅黑" w:hAnsi="微软雅黑" w:cs="宋体"/>
          <w:color w:val="4B4B4B"/>
          <w:kern w:val="0"/>
          <w:sz w:val="24"/>
          <w:szCs w:val="24"/>
        </w:rPr>
      </w:pPr>
      <w:r w:rsidRPr="00673A2F">
        <w:rPr>
          <w:rFonts w:ascii="微软雅黑" w:eastAsia="微软雅黑" w:hAnsi="微软雅黑" w:cs="宋体" w:hint="eastAsia"/>
          <w:color w:val="4B4B4B"/>
          <w:kern w:val="0"/>
          <w:sz w:val="24"/>
          <w:szCs w:val="24"/>
        </w:rPr>
        <w:t xml:space="preserve">　　教育部部长 袁贵仁</w:t>
      </w:r>
    </w:p>
    <w:p w:rsidR="00673A2F" w:rsidRPr="00673A2F" w:rsidRDefault="00673A2F" w:rsidP="00673A2F">
      <w:pPr>
        <w:widowControl/>
        <w:spacing w:line="480" w:lineRule="atLeast"/>
        <w:jc w:val="right"/>
        <w:rPr>
          <w:rFonts w:ascii="微软雅黑" w:eastAsia="微软雅黑" w:hAnsi="微软雅黑" w:cs="宋体"/>
          <w:color w:val="4B4B4B"/>
          <w:kern w:val="0"/>
          <w:sz w:val="24"/>
          <w:szCs w:val="24"/>
        </w:rPr>
      </w:pPr>
      <w:r w:rsidRPr="00673A2F">
        <w:rPr>
          <w:rFonts w:ascii="微软雅黑" w:eastAsia="微软雅黑" w:hAnsi="微软雅黑" w:cs="宋体" w:hint="eastAsia"/>
          <w:color w:val="4B4B4B"/>
          <w:kern w:val="0"/>
          <w:sz w:val="24"/>
          <w:szCs w:val="24"/>
        </w:rPr>
        <w:t xml:space="preserve">　　2016年6月16日</w:t>
      </w:r>
    </w:p>
    <w:p w:rsidR="00673A2F" w:rsidRPr="00673A2F" w:rsidRDefault="00673A2F" w:rsidP="00673A2F">
      <w:pPr>
        <w:pStyle w:val="a3"/>
        <w:shd w:val="clear" w:color="auto" w:fill="FFFFFF"/>
        <w:spacing w:before="0" w:beforeAutospacing="0" w:after="0" w:afterAutospacing="0" w:line="408" w:lineRule="atLeast"/>
        <w:rPr>
          <w:b/>
          <w:bCs/>
          <w:color w:val="333333"/>
        </w:rPr>
      </w:pPr>
    </w:p>
    <w:p w:rsidR="00A54704" w:rsidRDefault="00A54704" w:rsidP="00A54704">
      <w:pPr>
        <w:pStyle w:val="a3"/>
        <w:shd w:val="clear" w:color="auto" w:fill="FFFFFF"/>
        <w:wordWrap w:val="0"/>
        <w:spacing w:before="0" w:beforeAutospacing="0" w:after="0" w:afterAutospacing="0" w:line="408" w:lineRule="atLeast"/>
        <w:jc w:val="center"/>
        <w:rPr>
          <w:color w:val="1B1B1B"/>
        </w:rPr>
      </w:pPr>
      <w:r>
        <w:rPr>
          <w:rFonts w:hint="eastAsia"/>
          <w:b/>
          <w:bCs/>
          <w:color w:val="333333"/>
        </w:rPr>
        <w:t>高等学校预防与处理学术不端行为办法</w:t>
      </w:r>
    </w:p>
    <w:p w:rsidR="00A54704" w:rsidRDefault="00A54704" w:rsidP="00A54704">
      <w:pPr>
        <w:pStyle w:val="a3"/>
        <w:shd w:val="clear" w:color="auto" w:fill="FFFFFF"/>
        <w:wordWrap w:val="0"/>
        <w:spacing w:before="0" w:beforeAutospacing="0" w:after="0" w:afterAutospacing="0" w:line="408" w:lineRule="atLeast"/>
        <w:jc w:val="center"/>
        <w:rPr>
          <w:color w:val="1B1B1B"/>
        </w:rPr>
      </w:pPr>
      <w:r>
        <w:rPr>
          <w:rFonts w:hint="eastAsia"/>
          <w:b/>
          <w:bCs/>
          <w:color w:val="333333"/>
        </w:rPr>
        <w:t> </w:t>
      </w:r>
    </w:p>
    <w:p w:rsidR="00A54704" w:rsidRDefault="00A54704" w:rsidP="00A54704">
      <w:pPr>
        <w:pStyle w:val="a3"/>
        <w:shd w:val="clear" w:color="auto" w:fill="FFFFFF"/>
        <w:wordWrap w:val="0"/>
        <w:spacing w:before="0" w:beforeAutospacing="0" w:after="0" w:afterAutospacing="0" w:line="408" w:lineRule="atLeast"/>
        <w:jc w:val="center"/>
        <w:rPr>
          <w:color w:val="1B1B1B"/>
        </w:rPr>
      </w:pPr>
      <w:r>
        <w:rPr>
          <w:rFonts w:hint="eastAsia"/>
          <w:b/>
          <w:bCs/>
          <w:color w:val="333333"/>
        </w:rPr>
        <w:t>第一章　总则</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第二条　本办法所称学术不端行为是指高等学校及其教学科研人员、管理人员和学生，在科学研究及相关活动中发生的违反公认的学术准则、违背学术诚信的行为。</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第三条　高等学校预防与处理学术不端行为应坚持预防为主、教育与惩戒结合的原则。</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lastRenderedPageBreak/>
        <w:t>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高等学校应当充分发挥学术委员会在学风建设方面的作用，支持和保障学术委员会依法履行职责，调查、认定学术不端行为。</w:t>
      </w:r>
    </w:p>
    <w:p w:rsidR="00A54704" w:rsidRDefault="00A54704" w:rsidP="00A54704">
      <w:pPr>
        <w:pStyle w:val="a3"/>
        <w:shd w:val="clear" w:color="auto" w:fill="FFFFFF"/>
        <w:wordWrap w:val="0"/>
        <w:spacing w:before="0" w:beforeAutospacing="0" w:after="0" w:afterAutospacing="0" w:line="408" w:lineRule="atLeast"/>
        <w:jc w:val="center"/>
        <w:rPr>
          <w:color w:val="1B1B1B"/>
        </w:rPr>
      </w:pPr>
      <w:r>
        <w:rPr>
          <w:rFonts w:hint="eastAsia"/>
          <w:b/>
          <w:bCs/>
          <w:color w:val="333333"/>
        </w:rPr>
        <w:t>第二章　教育与预防</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第六条　高等学校应当完善学术治理体系，建立科学公正的学术评价和学术发展制度，营造鼓励创新、宽容失败、不骄不躁、风清气正的学术环境。</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高等学校教学科研人员、管理人员、学生在科研活动中应当遵循实事求是的科学精神和严谨认真的治学态度，恪守学术诚信，遵循学术准则，尊重和保护他人知识产权等合法权益。</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第七条　高等学校应当将学术规范和学术诚信教育，作为教师培训和学生教育的必要内容，以多种形式开展教育、培训。</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教师对其指导的学生应当进行学术规范、学术诚信教育和指导，对学生公开发表论文、研究和撰写学位论文是否符合学术规范、学术诚信要求，进行必要的检查与审核。</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第八条　高等学校应当利用信息技术等手段，建立对学术成果、学位论文所涉及内容的知识产权查询制度，健全学术规范监督机制。</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第九条　高等学校应当建立健全科研管理制度，在合理期限内保存研究的原始数据和资料，保证科研档案和数据的真实性、完整性。</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高等学校应当完善科研项目评审、学术成果鉴定程序，结合学科特点，对非涉密的科研项目申报材料、学术成果的基本信息以适当方式进行公开。</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lastRenderedPageBreak/>
        <w:t>第十条　高等学校应当遵循学术研究规律，建立科学的学术水平考核评价标准、办法，引导教学科研人员和学生潜心研究，形成具有创新性、独创性的研究成果。</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第十一条　高等学校应当建立教学科研人员学术诚信记录，在年度考核、职称评定、岗位聘用、课题立项、人才计划、评优奖励中强化学术诚信考核。</w:t>
      </w:r>
    </w:p>
    <w:p w:rsidR="00A54704" w:rsidRDefault="00A54704" w:rsidP="00A54704">
      <w:pPr>
        <w:pStyle w:val="a3"/>
        <w:shd w:val="clear" w:color="auto" w:fill="FFFFFF"/>
        <w:wordWrap w:val="0"/>
        <w:spacing w:before="0" w:beforeAutospacing="0" w:after="0" w:afterAutospacing="0" w:line="408" w:lineRule="atLeast"/>
        <w:jc w:val="center"/>
        <w:rPr>
          <w:color w:val="1B1B1B"/>
        </w:rPr>
      </w:pPr>
      <w:r>
        <w:rPr>
          <w:rFonts w:hint="eastAsia"/>
          <w:b/>
          <w:bCs/>
          <w:color w:val="333333"/>
        </w:rPr>
        <w:t>第三章　受理与调查</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第十三条　对学术不端行为的举报，一般应当以书面方式实名提出，并符合下列条件：</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（一）有明确的举报对象；</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（二）有实施学术不端行为的事实；</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（三）有客观的证据材料或者查证线索。</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以匿名方式举报，但事实清楚、证据充分或者线索明确的，高等学校应当视情况予以受理。</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第十四条　高等学校对媒体公开报道、其他学术机构或者社会组织主动披露的涉及本校人员的学术不端行为，应当依据职权，主动进行调查处理。</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第十五条　高等学校受理机构认为举报材料符合条件的，应当及时</w:t>
      </w:r>
      <w:proofErr w:type="gramStart"/>
      <w:r>
        <w:rPr>
          <w:rFonts w:hint="eastAsia"/>
          <w:color w:val="333333"/>
        </w:rPr>
        <w:t>作出</w:t>
      </w:r>
      <w:proofErr w:type="gramEnd"/>
      <w:r>
        <w:rPr>
          <w:rFonts w:hint="eastAsia"/>
          <w:color w:val="333333"/>
        </w:rPr>
        <w:t>受理决定，并通知举报人。不予受理的，应当书面说明理由。</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第十六条　学术不端行为举报受理后，应当交由学校学术委员会按照相关程序组织开展调查。</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学术委员会可委托有关专家就举报内容的合理性、调查的可能性等进行初步审查，并</w:t>
      </w:r>
      <w:proofErr w:type="gramStart"/>
      <w:r>
        <w:rPr>
          <w:rFonts w:hint="eastAsia"/>
          <w:color w:val="333333"/>
        </w:rPr>
        <w:t>作出</w:t>
      </w:r>
      <w:proofErr w:type="gramEnd"/>
      <w:r>
        <w:rPr>
          <w:rFonts w:hint="eastAsia"/>
          <w:color w:val="333333"/>
        </w:rPr>
        <w:t>是否进入正式调查的决定。</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决定不进入正式调查的，应当告知举报人。举报人如有新的证据，可以提出异议。异议成立的，应当进入正式调查。</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lastRenderedPageBreak/>
        <w:t>第十七条　高等学校学术委员会决定进入正式调查的，应当通知被举报人。</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被调查行为涉及资助项目的，可以同时通知项目资助方。</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第十八条　高等学校学术委员会应当组成调查组，负责对被举报行为进行调查；但对事实清楚、证据确凿、情节简单的被举报行为，也可以采用简易调查程序，具体办法由学术委员会确定。</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调查组应当不少于３人，必要时应当包括学校纪检、监察机构指派的工作人员，可以邀请同行专家参与调查或者以咨询等方式提供学术判断。</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被调查行为涉及资助项目的，可以邀请项目资助方委派相关专业人员参与调查组。</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第十九条　调查组的组成人员与举报人或者被举报人有合作研究、亲属或者导师学生等直接利害关系的，应当回避。</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第二十条　调查可通过查询资料、现场查看、实验检验、询问证人、询问举报人和被举报人等方式进行。调查组认为有必要的，可以委托无利害关系的专家或者第三</w:t>
      </w:r>
      <w:proofErr w:type="gramStart"/>
      <w:r>
        <w:rPr>
          <w:rFonts w:hint="eastAsia"/>
          <w:color w:val="333333"/>
        </w:rPr>
        <w:t>方专业</w:t>
      </w:r>
      <w:proofErr w:type="gramEnd"/>
      <w:r>
        <w:rPr>
          <w:rFonts w:hint="eastAsia"/>
          <w:color w:val="333333"/>
        </w:rPr>
        <w:t>机构就有关事项进行独立调查或者验证。</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第二十一条　调查组在调查过程中，应当认真听取被举报人的陈述、申辩，对有关事实、理由和证据进行核实；认为必要的，可以采取听证方式。</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第二十二条　有关单位和个人应当为调查组开展工作提供必要的便利和协助。</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举报人、被举报人、证人及其他有关人员应当如实回答询问，配合调查，提供相关证据材料，不得隐瞒或者提供虚假信息。</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第二十三条　调查过程中，出现知识产权等争议引发的法律纠纷的，且该争议可能影响行为定性的，应当中止调查，待争议解决后重启调查。</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第二十四条　调查组应当在查清事实的基础上形成调查报告。调查报告应当包括学术不端行为责任人的确认、调查过程、事实认定及理由、调查结论等。</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学术不端行为由多人集体做出的，调查报告中应当区别各责任人在行为中所发挥的作用。</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lastRenderedPageBreak/>
        <w:t>第二十五条　接触举报材料和参与调查处理的人员，不得向无关人员透露举报人、被举报人个人信息及调查情况。</w:t>
      </w:r>
    </w:p>
    <w:p w:rsidR="00A54704" w:rsidRDefault="00A54704" w:rsidP="00A54704">
      <w:pPr>
        <w:pStyle w:val="a3"/>
        <w:shd w:val="clear" w:color="auto" w:fill="FFFFFF"/>
        <w:wordWrap w:val="0"/>
        <w:spacing w:before="0" w:beforeAutospacing="0" w:after="0" w:afterAutospacing="0" w:line="408" w:lineRule="atLeast"/>
        <w:jc w:val="center"/>
        <w:rPr>
          <w:color w:val="1B1B1B"/>
        </w:rPr>
      </w:pPr>
      <w:r>
        <w:rPr>
          <w:rFonts w:hint="eastAsia"/>
          <w:b/>
          <w:bCs/>
          <w:color w:val="333333"/>
        </w:rPr>
        <w:t>第四章　认定</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第二十六条　高等学校学术委员会应当对调查组提交的调查报告进行审查；必要的，应当听取调查组的汇报。</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学术委员会可以召开全体会议或者授权专门委员会对被调查行为是否构成学术不端行为以及行为的性质、情节等</w:t>
      </w:r>
      <w:proofErr w:type="gramStart"/>
      <w:r>
        <w:rPr>
          <w:rFonts w:hint="eastAsia"/>
          <w:color w:val="333333"/>
        </w:rPr>
        <w:t>作出</w:t>
      </w:r>
      <w:proofErr w:type="gramEnd"/>
      <w:r>
        <w:rPr>
          <w:rFonts w:hint="eastAsia"/>
          <w:color w:val="333333"/>
        </w:rPr>
        <w:t>认定结论，并依职权</w:t>
      </w:r>
      <w:proofErr w:type="gramStart"/>
      <w:r>
        <w:rPr>
          <w:rFonts w:hint="eastAsia"/>
          <w:color w:val="333333"/>
        </w:rPr>
        <w:t>作出</w:t>
      </w:r>
      <w:proofErr w:type="gramEnd"/>
      <w:r>
        <w:rPr>
          <w:rFonts w:hint="eastAsia"/>
          <w:color w:val="333333"/>
        </w:rPr>
        <w:t>处理或建议学校</w:t>
      </w:r>
      <w:proofErr w:type="gramStart"/>
      <w:r>
        <w:rPr>
          <w:rFonts w:hint="eastAsia"/>
          <w:color w:val="333333"/>
        </w:rPr>
        <w:t>作出</w:t>
      </w:r>
      <w:proofErr w:type="gramEnd"/>
      <w:r>
        <w:rPr>
          <w:rFonts w:hint="eastAsia"/>
          <w:color w:val="333333"/>
        </w:rPr>
        <w:t>相应处理。</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第二十七条　经调查，确认被举报人在科学研究及相关活动中有下列行为之一的，应当认定为构成学术不端行为：</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（一）剽窃、抄袭、侵占他人学术成果；</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（二）篡改他人研究成果；</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（三）伪造科研数据、资料、文献、注释，或者捏造事实、编造虚假研究成果；</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（四）未参加研究或创作而在研究成果、学术论文上署名，未经他人许可而不当使用他人署名，虚构合作者共同署名，或者多人共同完成研究而在成果中未注明他人工作、贡献；</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（五）在申报课题、成果、奖励和职务评审评定、申请学位等过程中提供虚假学术信息；</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（六）买卖论文、由他人代写或者为他人代写论文；</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（七）其他根据高等学校或者有关学术组织、相关科研管理机构制定的规则，属于学术不端的行为。</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第二十八条　有学术不端行为且有下列情形之一的，应当认定为情节严重：</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（一）造成恶劣影响的；</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（二）存在利益输送或者利益交换的；</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（三）对举报人进行打击报复的；</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lastRenderedPageBreak/>
        <w:t>（四）有组织实施学术不端行为的；</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（五）多次实施学术不端行为的；</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（六）其他造成严重后果或者恶劣影响的。</w:t>
      </w:r>
    </w:p>
    <w:p w:rsidR="00A54704" w:rsidRDefault="00A54704" w:rsidP="00A54704">
      <w:pPr>
        <w:pStyle w:val="a3"/>
        <w:shd w:val="clear" w:color="auto" w:fill="FFFFFF"/>
        <w:wordWrap w:val="0"/>
        <w:spacing w:before="0" w:beforeAutospacing="0" w:after="0" w:afterAutospacing="0" w:line="408" w:lineRule="atLeast"/>
        <w:jc w:val="center"/>
        <w:rPr>
          <w:color w:val="1B1B1B"/>
        </w:rPr>
      </w:pPr>
      <w:r>
        <w:rPr>
          <w:rFonts w:hint="eastAsia"/>
          <w:b/>
          <w:bCs/>
          <w:color w:val="333333"/>
        </w:rPr>
        <w:t>第五章　处理</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第二十九条　高等学校应当根据学术委员会的认定结论和处理建议，结合行为性质和情节轻重，依职权和规定程序对学术不端行为责任人</w:t>
      </w:r>
      <w:proofErr w:type="gramStart"/>
      <w:r>
        <w:rPr>
          <w:rFonts w:hint="eastAsia"/>
          <w:color w:val="333333"/>
        </w:rPr>
        <w:t>作出</w:t>
      </w:r>
      <w:proofErr w:type="gramEnd"/>
      <w:r>
        <w:rPr>
          <w:rFonts w:hint="eastAsia"/>
          <w:color w:val="333333"/>
        </w:rPr>
        <w:t>如下处理：</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（一）通报批评；</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（二）终止或者撤销相关的科研项目，并在一定期限内取消申请资格；</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（三）撤销学术奖励或者荣誉称号；</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（四）辞退或解聘；</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（五）法律、法规及规章规定的其他处理措施。</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同时，可以依照有关规定，给予警告、记过、降低岗位等级或者撤职、开除等处分。</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学术不端行为责任人获得有关部门、机构设立的科研项目、学术奖励或者荣誉称号等利益的，学校应当同时向有关主管部门提出处理建议。</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学生有学术不端行为的，还应当按照学生管理的相关规定，给予相应的学籍处分。</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学术不端行为与获得学位有直接关联的，由学位授予单位作暂缓授予学位、不授予学位或者依法撤销学位等处理。</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第三十条　高等学校对学术不端行为</w:t>
      </w:r>
      <w:proofErr w:type="gramStart"/>
      <w:r>
        <w:rPr>
          <w:rFonts w:hint="eastAsia"/>
          <w:color w:val="333333"/>
        </w:rPr>
        <w:t>作出</w:t>
      </w:r>
      <w:proofErr w:type="gramEnd"/>
      <w:r>
        <w:rPr>
          <w:rFonts w:hint="eastAsia"/>
          <w:color w:val="333333"/>
        </w:rPr>
        <w:t>处理决定，应当制作处理决定书，载明以下内容：</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（一）责任人的基本情况；</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（二）经查证的学术不端行为事实；</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（三）处理意见和依据；</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lastRenderedPageBreak/>
        <w:t>（四）救济途径和期限；</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（五）其他必要内容。</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第三十一条　经调查认定，不构成学术不端行为的，根据被举报人申请，高等学校应当通过一定方式为其消除影响、恢复名誉等。</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调查处理过程中，发现举报人存在捏造事实、诬告陷害等行为的，应当认定为举报不实或者虚假举报，举报人应当承担相应责任。属于本单位人员的，高等学校应当按照有关规定给</w:t>
      </w:r>
      <w:proofErr w:type="gramStart"/>
      <w:r>
        <w:rPr>
          <w:rFonts w:hint="eastAsia"/>
          <w:color w:val="333333"/>
        </w:rPr>
        <w:t>予处理</w:t>
      </w:r>
      <w:proofErr w:type="gramEnd"/>
      <w:r>
        <w:rPr>
          <w:rFonts w:hint="eastAsia"/>
          <w:color w:val="333333"/>
        </w:rPr>
        <w:t>；不属于本单位人员的，应通报其所在单位，并提出处理建议。</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第三十二条　参与举报受理、调查和处理的人员违反保密等规定，造成不良影响的，按照有关规定给予处分或其他处理。</w:t>
      </w:r>
    </w:p>
    <w:p w:rsidR="00A54704" w:rsidRDefault="00A54704" w:rsidP="00A54704">
      <w:pPr>
        <w:pStyle w:val="a3"/>
        <w:shd w:val="clear" w:color="auto" w:fill="FFFFFF"/>
        <w:wordWrap w:val="0"/>
        <w:spacing w:before="0" w:beforeAutospacing="0" w:after="0" w:afterAutospacing="0" w:line="408" w:lineRule="atLeast"/>
        <w:jc w:val="center"/>
        <w:rPr>
          <w:color w:val="1B1B1B"/>
        </w:rPr>
      </w:pPr>
      <w:r>
        <w:rPr>
          <w:rFonts w:hint="eastAsia"/>
          <w:b/>
          <w:bCs/>
          <w:color w:val="333333"/>
        </w:rPr>
        <w:t>第六章　复核</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第三十三条　举报人或者学术不端行为责任人对处理决定不服的，可以在收到处理决定之日起30日内，以书面形式向高等学校提出异议或者复核申请。</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异议和复核不影响处理决定的执行。</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第三十四条　高等学校收到异议或者复核申请后，应当交由学术委员会组织讨论，并于15日内</w:t>
      </w:r>
      <w:proofErr w:type="gramStart"/>
      <w:r>
        <w:rPr>
          <w:rFonts w:hint="eastAsia"/>
          <w:color w:val="333333"/>
        </w:rPr>
        <w:t>作出</w:t>
      </w:r>
      <w:proofErr w:type="gramEnd"/>
      <w:r>
        <w:rPr>
          <w:rFonts w:hint="eastAsia"/>
          <w:color w:val="333333"/>
        </w:rPr>
        <w:t>是否受理的决定。</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决定受理的，学校或者学术委员会可以另行组织调查组或者委托第三方机构进行调查；决定不予受理的，应当书面通知当事人。</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第三十五条　当事人对复核决定不服，仍以同一事实和理由提出异议或者申请复核的，不予受理；向有关主管部门提出申诉的，按照相关规定执行。</w:t>
      </w:r>
    </w:p>
    <w:p w:rsidR="00A54704" w:rsidRDefault="00A54704" w:rsidP="00A54704">
      <w:pPr>
        <w:pStyle w:val="a3"/>
        <w:shd w:val="clear" w:color="auto" w:fill="FFFFFF"/>
        <w:wordWrap w:val="0"/>
        <w:spacing w:before="0" w:beforeAutospacing="0" w:after="0" w:afterAutospacing="0" w:line="408" w:lineRule="atLeast"/>
        <w:jc w:val="center"/>
        <w:rPr>
          <w:color w:val="1B1B1B"/>
        </w:rPr>
      </w:pPr>
      <w:r>
        <w:rPr>
          <w:rFonts w:hint="eastAsia"/>
          <w:b/>
          <w:bCs/>
          <w:color w:val="333333"/>
        </w:rPr>
        <w:t>第七章　监督</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第三十六条　高等学校应当按年度发布学风建设工作报告，并向社会公开，接受社会监督。</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第三十七条　高等学校处理学术不端行为推诿塞责、隐瞒包庇、查处不力的，主管部门可以直接组织或者委托相关机构查处。</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第三十八条　高等学校对本校发生的学术不端行为，未能及时查处并做出公正结论，造成恶劣影响的，主管部门应当追究相关领导的责任，并进行通报。</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lastRenderedPageBreak/>
        <w:t>高等学校为获得相关利益，有组织实施学术不端行为的，主管部门调查确认后，应当撤销高等学校由此获得的相关权利、项目以及其他利益，并追究学校主要负责人、直接负责人的责任。</w:t>
      </w:r>
    </w:p>
    <w:p w:rsidR="00A54704" w:rsidRDefault="00A54704" w:rsidP="00A54704">
      <w:pPr>
        <w:pStyle w:val="a3"/>
        <w:shd w:val="clear" w:color="auto" w:fill="FFFFFF"/>
        <w:wordWrap w:val="0"/>
        <w:spacing w:before="0" w:beforeAutospacing="0" w:after="0" w:afterAutospacing="0" w:line="408" w:lineRule="atLeast"/>
        <w:jc w:val="center"/>
        <w:rPr>
          <w:color w:val="1B1B1B"/>
        </w:rPr>
      </w:pPr>
      <w:r>
        <w:rPr>
          <w:rFonts w:hint="eastAsia"/>
          <w:b/>
          <w:bCs/>
          <w:color w:val="333333"/>
        </w:rPr>
        <w:t>第八章　附则</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第三十九条　高等学校应当根据本办法，结合学校实际和学科特点，制定本校学术不端行为查处规则及处理办法，明确各类学术不端行为的惩处标准。有关规则应当经学校学术委员会和教职工代表大会讨论通过。</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第四十条　高等学校主管部门对直接受理的学术不端案件，可自行组织调查组或者指定、委托高等学校、有关机构组织调查、认定。对学术不端行为责任人的处理，根据本办法及国家有关规定执行。</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教育系统所属科研机构及其他单位有关人员学术不端行为的调查与处理，可参照本办法执行。</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第四十一条　本办法自2016年9月1日起施行。</w:t>
      </w:r>
    </w:p>
    <w:p w:rsidR="00A54704" w:rsidRDefault="00A54704" w:rsidP="00A54704">
      <w:pPr>
        <w:pStyle w:val="a3"/>
        <w:shd w:val="clear" w:color="auto" w:fill="FFFFFF"/>
        <w:wordWrap w:val="0"/>
        <w:spacing w:before="204" w:beforeAutospacing="0" w:after="0" w:afterAutospacing="0" w:line="408" w:lineRule="atLeast"/>
        <w:ind w:firstLine="480"/>
        <w:rPr>
          <w:color w:val="1B1B1B"/>
        </w:rPr>
      </w:pPr>
      <w:r>
        <w:rPr>
          <w:rFonts w:hint="eastAsia"/>
          <w:color w:val="333333"/>
        </w:rPr>
        <w:t>教育部此前发布的有关规章、文件中的相关规定与本办法不一致的，以本办法为准。</w:t>
      </w:r>
    </w:p>
    <w:p w:rsidR="00B25E70" w:rsidRPr="00A54704" w:rsidRDefault="00B25E70"/>
    <w:sectPr w:rsidR="00B25E70" w:rsidRPr="00A547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4F2"/>
    <w:rsid w:val="003E7724"/>
    <w:rsid w:val="00673A2F"/>
    <w:rsid w:val="008204F2"/>
    <w:rsid w:val="00A54704"/>
    <w:rsid w:val="00B25E70"/>
    <w:rsid w:val="00C031F7"/>
    <w:rsid w:val="00E77546"/>
    <w:rsid w:val="00F36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2474"/>
  <w15:chartTrackingRefBased/>
  <w15:docId w15:val="{46B6CB32-AC27-4C3A-B355-3F64CB1D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73A2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4704"/>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673A2F"/>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77647">
      <w:bodyDiv w:val="1"/>
      <w:marLeft w:val="0"/>
      <w:marRight w:val="0"/>
      <w:marTop w:val="0"/>
      <w:marBottom w:val="0"/>
      <w:divBdr>
        <w:top w:val="none" w:sz="0" w:space="0" w:color="auto"/>
        <w:left w:val="none" w:sz="0" w:space="0" w:color="auto"/>
        <w:bottom w:val="none" w:sz="0" w:space="0" w:color="auto"/>
        <w:right w:val="none" w:sz="0" w:space="0" w:color="auto"/>
      </w:divBdr>
    </w:div>
    <w:div w:id="1943150707">
      <w:bodyDiv w:val="1"/>
      <w:marLeft w:val="0"/>
      <w:marRight w:val="0"/>
      <w:marTop w:val="0"/>
      <w:marBottom w:val="0"/>
      <w:divBdr>
        <w:top w:val="none" w:sz="0" w:space="0" w:color="auto"/>
        <w:left w:val="none" w:sz="0" w:space="0" w:color="auto"/>
        <w:bottom w:val="none" w:sz="0" w:space="0" w:color="auto"/>
        <w:right w:val="none" w:sz="0" w:space="0" w:color="auto"/>
      </w:divBdr>
      <w:divsChild>
        <w:div w:id="225533932">
          <w:marLeft w:val="0"/>
          <w:marRight w:val="0"/>
          <w:marTop w:val="0"/>
          <w:marBottom w:val="0"/>
          <w:divBdr>
            <w:top w:val="none" w:sz="0" w:space="0" w:color="auto"/>
            <w:left w:val="none" w:sz="0" w:space="0" w:color="auto"/>
            <w:bottom w:val="none" w:sz="0" w:space="0" w:color="auto"/>
            <w:right w:val="none" w:sz="0" w:space="0" w:color="auto"/>
          </w:divBdr>
          <w:divsChild>
            <w:div w:id="1614753135">
              <w:marLeft w:val="0"/>
              <w:marRight w:val="0"/>
              <w:marTop w:val="0"/>
              <w:marBottom w:val="0"/>
              <w:divBdr>
                <w:top w:val="none" w:sz="0" w:space="0" w:color="auto"/>
                <w:left w:val="none" w:sz="0" w:space="0" w:color="auto"/>
                <w:bottom w:val="none" w:sz="0" w:space="0" w:color="auto"/>
                <w:right w:val="none" w:sz="0" w:space="0" w:color="auto"/>
              </w:divBdr>
              <w:divsChild>
                <w:div w:id="1040200846">
                  <w:marLeft w:val="0"/>
                  <w:marRight w:val="0"/>
                  <w:marTop w:val="450"/>
                  <w:marBottom w:val="0"/>
                  <w:divBdr>
                    <w:top w:val="none" w:sz="0" w:space="0" w:color="auto"/>
                    <w:left w:val="none" w:sz="0" w:space="0" w:color="auto"/>
                    <w:bottom w:val="none" w:sz="0" w:space="0" w:color="auto"/>
                    <w:right w:val="none" w:sz="0" w:space="0" w:color="auto"/>
                  </w:divBdr>
                </w:div>
                <w:div w:id="8499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728</Words>
  <Characters>4153</Characters>
  <Application>Microsoft Office Word</Application>
  <DocSecurity>0</DocSecurity>
  <Lines>34</Lines>
  <Paragraphs>9</Paragraphs>
  <ScaleCrop>false</ScaleCrop>
  <Company>Microsoft</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冯巧</dc:creator>
  <cp:keywords/>
  <dc:description/>
  <cp:lastModifiedBy>冯巧</cp:lastModifiedBy>
  <cp:revision>9</cp:revision>
  <dcterms:created xsi:type="dcterms:W3CDTF">2021-05-18T03:45:00Z</dcterms:created>
  <dcterms:modified xsi:type="dcterms:W3CDTF">2021-09-05T03:35:00Z</dcterms:modified>
</cp:coreProperties>
</file>