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52" w:rsidRDefault="004C346A">
      <w:hyperlink r:id="rId6" w:history="1">
        <w:r w:rsidRPr="005108BB">
          <w:rPr>
            <w:rStyle w:val="a7"/>
          </w:rPr>
          <w:t>http://www.most.gov.cn/xxgk/xinxifenlei/fdzdgknr/fgzc/flfg/201512/t20151204_122621.html</w:t>
        </w:r>
      </w:hyperlink>
    </w:p>
    <w:tbl>
      <w:tblPr>
        <w:tblW w:w="12745" w:type="dxa"/>
        <w:tblCellSpacing w:w="0" w:type="dxa"/>
        <w:shd w:val="clear" w:color="auto" w:fill="FFFFFF"/>
        <w:tblCellMar>
          <w:left w:w="0" w:type="dxa"/>
          <w:right w:w="0" w:type="dxa"/>
        </w:tblCellMar>
        <w:tblLook w:val="04A0" w:firstRow="1" w:lastRow="0" w:firstColumn="1" w:lastColumn="0" w:noHBand="0" w:noVBand="1"/>
      </w:tblPr>
      <w:tblGrid>
        <w:gridCol w:w="1500"/>
        <w:gridCol w:w="3745"/>
        <w:gridCol w:w="1500"/>
        <w:gridCol w:w="6000"/>
      </w:tblGrid>
      <w:tr w:rsidR="004C346A" w:rsidRPr="004C346A" w:rsidTr="004C346A">
        <w:trPr>
          <w:tblCellSpacing w:w="0" w:type="dxa"/>
        </w:trPr>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color w:val="000000"/>
                <w:kern w:val="0"/>
                <w:szCs w:val="21"/>
              </w:rPr>
            </w:pPr>
            <w:r w:rsidRPr="004C346A">
              <w:rPr>
                <w:rFonts w:ascii="微软雅黑" w:eastAsia="微软雅黑" w:hAnsi="微软雅黑" w:cs="宋体" w:hint="eastAsia"/>
                <w:b/>
                <w:bCs/>
                <w:color w:val="000000"/>
                <w:kern w:val="0"/>
                <w:szCs w:val="21"/>
              </w:rPr>
              <w:t>标　　题：</w:t>
            </w:r>
          </w:p>
        </w:tc>
        <w:tc>
          <w:tcPr>
            <w:tcW w:w="11245" w:type="dxa"/>
            <w:gridSpan w:val="3"/>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中华人民共和国促进科技成果转化法（2015年修订）</w:t>
            </w:r>
          </w:p>
        </w:tc>
      </w:tr>
      <w:tr w:rsidR="004C346A" w:rsidRPr="004C346A" w:rsidTr="004C346A">
        <w:trPr>
          <w:tblCellSpacing w:w="0" w:type="dxa"/>
        </w:trPr>
        <w:tc>
          <w:tcPr>
            <w:tcW w:w="1500" w:type="dxa"/>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索 引 号：</w:t>
            </w:r>
          </w:p>
        </w:tc>
        <w:tc>
          <w:tcPr>
            <w:tcW w:w="3745" w:type="dxa"/>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306-03-2015-621</w:t>
            </w:r>
          </w:p>
        </w:tc>
        <w:tc>
          <w:tcPr>
            <w:tcW w:w="1500" w:type="dxa"/>
            <w:shd w:val="clear" w:color="auto" w:fill="FFFFFF"/>
            <w:vAlign w:val="center"/>
            <w:hideMark/>
          </w:tcPr>
          <w:p w:rsidR="004C346A" w:rsidRPr="004C346A" w:rsidRDefault="004C346A" w:rsidP="004C346A">
            <w:pPr>
              <w:widowControl/>
              <w:spacing w:line="480" w:lineRule="auto"/>
              <w:ind w:leftChars="-601" w:left="-1262" w:firstLineChars="601" w:firstLine="1262"/>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发文机构：</w:t>
            </w:r>
          </w:p>
        </w:tc>
        <w:tc>
          <w:tcPr>
            <w:tcW w:w="6000" w:type="dxa"/>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全国人民代表大会常务委员会</w:t>
            </w:r>
          </w:p>
        </w:tc>
      </w:tr>
      <w:tr w:rsidR="004C346A" w:rsidRPr="004C346A" w:rsidTr="004C346A">
        <w:trPr>
          <w:tblCellSpacing w:w="0" w:type="dxa"/>
        </w:trPr>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成文日期：</w:t>
            </w:r>
          </w:p>
        </w:tc>
        <w:tc>
          <w:tcPr>
            <w:tcW w:w="3745" w:type="dxa"/>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2015-08-29</w:t>
            </w:r>
          </w:p>
        </w:tc>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发布日期：</w:t>
            </w:r>
          </w:p>
        </w:tc>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2015年08月31日</w:t>
            </w:r>
          </w:p>
        </w:tc>
      </w:tr>
      <w:tr w:rsidR="004C346A" w:rsidRPr="004C346A" w:rsidTr="004C346A">
        <w:trPr>
          <w:tblCellSpacing w:w="0" w:type="dxa"/>
        </w:trPr>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发文字号：</w:t>
            </w:r>
          </w:p>
        </w:tc>
        <w:tc>
          <w:tcPr>
            <w:tcW w:w="3745" w:type="dxa"/>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中华人民共和国主席令第三十二号</w:t>
            </w:r>
          </w:p>
        </w:tc>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b/>
                <w:bCs/>
                <w:color w:val="000000"/>
                <w:kern w:val="0"/>
                <w:szCs w:val="21"/>
              </w:rPr>
              <w:t>有 效 性：</w:t>
            </w:r>
          </w:p>
        </w:tc>
        <w:tc>
          <w:tcPr>
            <w:tcW w:w="0" w:type="auto"/>
            <w:shd w:val="clear" w:color="auto" w:fill="FFFFFF"/>
            <w:vAlign w:val="center"/>
            <w:hideMark/>
          </w:tcPr>
          <w:p w:rsidR="004C346A" w:rsidRPr="004C346A" w:rsidRDefault="004C346A" w:rsidP="004C346A">
            <w:pPr>
              <w:widowControl/>
              <w:spacing w:line="480" w:lineRule="auto"/>
              <w:jc w:val="left"/>
              <w:rPr>
                <w:rFonts w:ascii="微软雅黑" w:eastAsia="微软雅黑" w:hAnsi="微软雅黑" w:cs="宋体" w:hint="eastAsia"/>
                <w:color w:val="000000"/>
                <w:kern w:val="0"/>
                <w:szCs w:val="21"/>
              </w:rPr>
            </w:pPr>
            <w:r w:rsidRPr="004C346A">
              <w:rPr>
                <w:rFonts w:ascii="微软雅黑" w:eastAsia="微软雅黑" w:hAnsi="微软雅黑" w:cs="宋体" w:hint="eastAsia"/>
                <w:color w:val="000000"/>
                <w:kern w:val="0"/>
                <w:szCs w:val="21"/>
              </w:rPr>
              <w:t>有效</w:t>
            </w:r>
          </w:p>
        </w:tc>
      </w:tr>
    </w:tbl>
    <w:p w:rsidR="004C346A" w:rsidRPr="004C346A" w:rsidRDefault="004C346A" w:rsidP="004C346A">
      <w:pPr>
        <w:widowControl/>
        <w:spacing w:line="450" w:lineRule="atLeast"/>
        <w:jc w:val="center"/>
        <w:rPr>
          <w:rFonts w:ascii="微软雅黑" w:eastAsia="微软雅黑" w:hAnsi="微软雅黑" w:cs="宋体"/>
          <w:b/>
          <w:bCs/>
          <w:color w:val="333333"/>
          <w:kern w:val="0"/>
          <w:sz w:val="30"/>
          <w:szCs w:val="30"/>
        </w:rPr>
      </w:pPr>
      <w:r w:rsidRPr="004C346A">
        <w:rPr>
          <w:rFonts w:ascii="微软雅黑" w:eastAsia="微软雅黑" w:hAnsi="微软雅黑" w:cs="宋体" w:hint="eastAsia"/>
          <w:b/>
          <w:bCs/>
          <w:color w:val="333333"/>
          <w:kern w:val="0"/>
          <w:sz w:val="30"/>
          <w:szCs w:val="30"/>
        </w:rPr>
        <w:t>中华人民共和国促进科技成果转化法（2015年修订）</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中华人民共和国主席令第三十二号</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全国人民代表大会常务委员会关于修改〈中华人民共和国促进科技成果转化法〉的决定》已由中华人民共和国第十二届全国人民代表大会常务委员会第十六次会议于2015年8月29日通过，现予公布，自2015年10月1日起施行。</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中华人民共和国主席习近平</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2015年8月29日</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微软雅黑" w:eastAsia="微软雅黑" w:hAnsi="微软雅黑" w:cs="宋体" w:hint="eastAsia"/>
          <w:color w:val="000000"/>
          <w:kern w:val="0"/>
          <w:sz w:val="27"/>
          <w:szCs w:val="27"/>
        </w:rPr>
        <w:t> </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微软雅黑" w:eastAsia="微软雅黑" w:hAnsi="微软雅黑" w:cs="宋体" w:hint="eastAsia"/>
          <w:color w:val="000000"/>
          <w:kern w:val="0"/>
          <w:sz w:val="27"/>
          <w:szCs w:val="27"/>
        </w:rPr>
        <w:t> </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中华人民共和国促进科技成果转化法（2015年修订）</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（1996年5月15日第八届全国人民代表大会常务委员会第十九次会议通过</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根据2015年8月29日第十二届全国人民代表大会常务委员会第十六次会议《关于修改〈中华人民共和国促进科技成果转化法〉的决定》修正）</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目　录</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第一章　总　则</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第二章 组织实施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第三章 保障措施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第四章 技术权益</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第五章 法律责任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第六章 附 则</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第一章　总　则</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第一条 为了促进科技成果转化为现实生产力，规范科技成果转化活动，加速科学技术进步，推动经济建设和社会发展，制定本法。</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第二条 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本法所称科技成果转化，是指为提高生产力水平而对科技成果所进行的后续试验、开发、应用、推广直至形成新技术、新工艺、新材料、新产品，发展新产业等活动。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第三条 科技成果转化活动应当有利于加快实施创新驱动发展战略，促进科技与经济的结合，有利于提高经济效益、社会效益和保护环境、合理利用资源，有利于促进经济建设、社会发展和维护国家安全。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科技成果转化活动应当尊重市场规律，发挥企业的主体作用，遵循自愿、互利、公平、诚实信用的原则，依照法律法规规定和合同约定，享有权益，承担风险。科技成果转化活动中的知识产权受法律保护。</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科技成果转化活动应当遵守法律法规，维护国家利益，不得损害社会公共利益和他人合法权益。</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第四条 国家对科技成果转化合理安排财政资金投入，引导社会资金投入，推动科技成果转化资金投入的多元化。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第五条 国务院和地方各级人民政府应当加强科技、财政、投资、税收、人才、产业、金融、政府采购、军民融合等政策协同，为科技成果转化创造良好环境。</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地方各级人民政府根据本法规定的原则，结合本地实际，可以采取更加有利于促进科技成果转化的措施。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第六条 国家鼓励科技成果首先在中国境内实施。中国单位或者个人向境外的组织、个人转让或者许可其实施科技成果的，应当遵守相关法律、行政法规以及国家有关规定。</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第七条 国家为了国家安全、国家利益和重大社会公共利益的需要，可以依法组织实施或者许可他人实施相关科技成果。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第八条 国务院科学技术行政部门、经济综合管理部门和其他有关行政部门依照国务院规定的职责，管理、指导和协调科技成果转化工作。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地方各级人民政府负责管理、指导和协调本行政区域内的科技成果转化工作。</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第二章　组织实施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第九条 国务院和地方各级人民政府应当将科技成果的转化纳入国民经济和社会发展计划，并组织协调实施有关科技成果的转化。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第十条 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第十一条 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利用财政资金设立的科技项目的承担者应当按照规定及时提交相关科技报告，并将科技成果和相关知识产权信息汇交到科技成果信息系统。</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国家鼓励利用非财政资金设立的科技项目的承担者提交相关科技报告，将科技成果和相关知识产权信息汇交到科技成果信息系统，县级以上人民政府负责相关工作的部门应当为其提供方便。</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第十二条 对下列科技成果转化项目，国家通过政府采购、研究开发资助、发布产业技术指导目录、示范推广等方式予以支持：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（一）能够显著提高产业技术水平、经济效益或者能够形成促进社会经济健康发展的新产业的；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（二）能够显著提高国家安全能力和公共安全水平的；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（三）能够合理开发和利用资源、节约能源、降低消耗以及防治环境污染、保护生态、提高应对气候变化和防灾减灾能力的；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（四）能够改善民生和提高公共健康水平的；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（五）能够促进现代农业或者农村经济发展的；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（六）能够加快民族地区、边远地区、贫困地区社会经济发展的。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第十三条 国家通过制定政策措施，提倡和鼓励采用先进技术、工艺和装备，不断改进、限制使用或者淘汰落后技术、工艺和装备。</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第十四条 国家加强标准制定工作，对新技术、新工艺、新材料、新产品依法及时制定国家标准、行业标准，积极参与国际标准的制定，推动先进适用技术推广和应用。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国家建立有效的军民科技成果相互转化体系，完善国防科技协同创新体制机制。军品科研生产应当依法优先采用先进适用的民用标准，推动军用、民用技术相互转移、转化。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第十五条 各级人民政府组织实施的重点科技成果转化项目，可以由有关部门组织采用公开招标的方式实施转化。有关部门应当对中标单位提供招标时确定的资助或者其他条件。</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第十六条 科技成果持有者可以采用下列方式进行科技成果转化：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（一）自行投资实施转化；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（二）向他人转让该科技成果；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（三）许可他人使用该科技成果；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（四）以该科技成果作为合作条件，与他人共同实施转化；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（五）以该科技成果作价投资，折算股份或者出资比例；</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（六）其他协商确定的方式。</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第十七条　国家鼓励研究开发机构、高等院校采取转让、许可或者作价投资等方式，向企业或者其他组织转移科技成果。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第十八条 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第十九条 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科技成果完成人或者课题负责人，不得阻碍职务科技成果的转化，不得将职务科技成果及其技术资料和数据占为己有，侵犯单位的合法权益。</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第二十条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国家设立的研究开发机构、高等院校应当建立符合科技成果转化工作特点的职称评定、岗位管理和考核评价制度，完善收入分配激励约束机制。</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第二十一条 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第二十二条 企业为采用新技术、新工艺、新材料和生产新产品，可以自行发布信息或者委托科技中介服务机构征集其所需的科技成果，或者征寻科技成果转化的合作者。</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县级以上地方各级人民政府科学技术行政部门和其他有关部门应当根据职责分工，为企业获取所需的科技成果提供帮助和支持。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第二十三条 企业依法有权独立或者与境内外企业、事业单位和其他合作者联合实施科技成果转化。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企业可以通过公平竞争，独立或者与其他单位联合承担政府组织实施的科技研究开发和科技成果转化项目。</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第二十四条 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第二十五条 国家鼓励研究开发机构、高等院校与企业相结合，联合实施科技成果转化。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研究开发机构、高等院校可以参与政府有关部门或者企业实施科技成果转化的招标投标活动。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第二十六条 国家鼓励企业与研究开发机构、高等院校及其他组织采取联合建立研究开发平台、技术转移机构或者技术创新联盟等产学研合作方式，共同开展研究开发、成果应用与推广、标准研究与制定等活动。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合作各方应当签订协议，依法约定合作的组织形式、任务分工、资金投入、知识产权归属、权益分配、风险分担和违约责任等事项。</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第二十七条 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第二十八条 国家支持企业与研究开发机构、高等院校、职业院校及培训机构联合建立学生实习实践培训基地和研究生科研实践工作机构，共同培养专业技术人才和高技能人才。</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第二十九条 国家鼓励农业科研机构、农业试验示范单位独立或者与其他单位合作实施农业科技成果转化。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第三十条 国家培育和发展技术市场，鼓励创办科技中介服务机构，为技术交易提供交易场所、信息平台以及信息检索、加工与分析、评估、经纪等服务。</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科技中介服务机构提供服务，应当遵循公正、客观的原则，不得提供虚假的信息和证明，对其在服务过程中知悉的国家秘密和当事人的商业秘密负有保密义务。</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第三十一条 国家支持根据产业和区域发展需要建设公共研究开发平台，为科技成果转化提供技术集成、共性技术研究开发、中间试验和工业性试验、科技成果系统化和工程化开发、技术推广与示范等服务。</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第三十二条 国家支持科技企业孵化器、大学科技园等科技企业孵化机构发展，为初创期科技型中小企业提供孵化场地、创业辅导、研究开发与管理咨询等服务。</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第三章　保障措施</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第三十三条 科技成果转化财政经费，主要用于科技成果转化的引导资金、贷款贴息、补助资金和风险投资以及其他促进科技成果转化的资金用途。</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第三十四条 国家依照有关税收法律、行政法规规定对科技成果转化活动实行税收优惠。</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第三十五条 国家鼓励银行业金融机构在组织形式、管理机制、金融产品和服务等方面进行创新，鼓励开展知识产权质押贷款、股权质押贷款等贷款业务，为科技成果转化提供金融支持。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国家鼓励政策性金融机构采取措施，加大对科技成果转化的金融支持。</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第三十六条 国家鼓励保险机构开发符合科技成果转化特点的保险品种，为科技成果转化提供保险服务。</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第三十七条 国家完善多层次资本市场，支持企业通过股权交易、依法发行股票和债券等直接融资方式为科技成果转化项目进行融资。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第三十八条 国家鼓励创业投资机构投资科技成果转化项目。</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国家设立的创业投资引导基金，应当引导和支持创业投资机构投资初创期科技型中小企业。</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第三十九条 国家鼓励设立科技成果转化基金或者风险基金，其资金来源由国家、地方、企业、事业单位以及其他组织或者个人提供，用于支持高投入、高风险、高产出的科技成果的转化，加速重大科技成果的产业化。</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科技成果转化基金和风险基金的设立及其资金使用，依照国家有关规定执行。</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第四章　技术权益</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第四十条 科技成果完成单位与其他单位合作进行科技成果转化的，应当依法由合同约定该科技成果有关权益的归属。合同未作约定的，按照下列原则办理：</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（一）在合作转化中无新的发明创造的，该科技成果的权益，归该科技成果完成单位；</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（二）在合作转化中产生新的发明创造的，该新发明创造的权益归合作各方共有；</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（三）对合作转化中产生的科技成果，各方都有实施该项科技成果的权利，转让该科技成果应经合作各方同意。</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第四十一条 科技成果完成单位与其他单位合作进行科技成果转化的，合作各方应当就保守技术秘密达成协议；当事人不得违反协议或者违反权利人有关保守技术秘密的要求，披露、允许他人使用该技术。</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第四十二条 企业、事业单位应当建立健全技术秘密保护制度，保护本单位的技术秘密。职工应当遵守本单位的技术秘密保护制度。</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职工不得将职务科技成果擅自转让或者变相转让。</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第四十三条 国家设立的研究开发机构、高等院校转化科技成果所获得的收入全部留归本单位，在对完成、转化职务科技成果做出重要贡献的人员给予奖励和报酬后，主要用于科学技术研究开发与成果转化等相关工作。</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第四十四条 职务科技成果转化后，由科技成果完成单位对完成、转化该项科技成果做出重要贡献的人员给予奖励和报酬。</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科技成果完成单位可以规定或者与科技人员约定奖励和报酬的方式、数额和时限。单位制定相关规定，应当充分听取本单位科技人员的意见，并在本单位公开相关规定。</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lastRenderedPageBreak/>
        <w:t>    第四十五条 科技成果完成单位未规定、也未与科技人员约定奖励和报酬的方式和数额的，按照下列标准对完成、转化职务科技成果做出重要贡献的人员给予奖励和报酬：</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（一）将该项职务科技成果转让、许可给他人实施的，从该项科技成果转让净收入或者许可净收入中提取不低于百分之五十的比例；</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（二）利用该项职务科技成果作价投资的，从该项科技成果形成的股份或者出资比例中提取不低于百分之五十的比例；</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（三）将该项职务科技成果自行实施或者与他人合作实施的，应当在实施转化成功投产后连续三至五年，每年从实施该项科技成果的营业利润中提取不低于百分之五的比例。</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国家设立的研究开发机构、高等院校规定或者与科技人员约定奖励和报酬的方式和数额应当符合前款第一项至第三项规定的标准。</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国有企业、事业单位依照本法规定对完成、转化职务科技成果做出重要贡献的人员给予奖励和报酬的支出计入当年本单位工资总额，但不受当年本单位工资总额限制、不纳入本单位工资总额基数。</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第五章　法律责任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第四十六条 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国家设立的研究开发机构、高等院校未依照本法规定提交科技成果转化情况年度报告的，由其主管部门责令改正；情节严重的，予以通报批评。</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第四十八条 科技服务机构及其从业人员违反本法规定，故意提供虚假的信息、实验结果或者评估意见等欺骗当事人，或者与当事人一方串通欺骗另</w:t>
      </w:r>
      <w:r w:rsidRPr="004C346A">
        <w:rPr>
          <w:rFonts w:ascii="宋体" w:eastAsia="宋体" w:hAnsi="宋体" w:cs="宋体" w:hint="eastAsia"/>
          <w:color w:val="393939"/>
          <w:kern w:val="0"/>
          <w:sz w:val="24"/>
          <w:szCs w:val="24"/>
          <w:shd w:val="clear" w:color="auto" w:fill="FFFFFF"/>
        </w:rPr>
        <w:lastRenderedPageBreak/>
        <w:t>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科技中介服务机构及其从业人员违反本法规定泄露国家秘密或者当事人的商业秘密的，依照有关法律、行政法规的规定承担相应的法律责任。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第四十九条 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第五十条 违反本法规定，以唆使窃取、利诱胁迫等手段侵占他人的科技成果，侵犯他人合法权益的，依法承担民事赔偿责任，可以处以罚款；构成犯罪的，依法追究刑事责任。</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第五十一条 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4C346A" w:rsidRPr="004C346A" w:rsidRDefault="004C346A" w:rsidP="004C346A">
      <w:pPr>
        <w:widowControl/>
        <w:shd w:val="clear" w:color="auto" w:fill="FFFFFF"/>
        <w:spacing w:line="480" w:lineRule="atLeast"/>
        <w:jc w:val="center"/>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第六章　附则</w:t>
      </w:r>
    </w:p>
    <w:p w:rsidR="004C346A" w:rsidRPr="004C346A" w:rsidRDefault="004C346A" w:rsidP="004C346A">
      <w:pPr>
        <w:widowControl/>
        <w:shd w:val="clear" w:color="auto" w:fill="FFFFFF"/>
        <w:spacing w:line="480" w:lineRule="atLeast"/>
        <w:jc w:val="left"/>
        <w:rPr>
          <w:rFonts w:ascii="微软雅黑" w:eastAsia="微软雅黑" w:hAnsi="微软雅黑" w:cs="宋体" w:hint="eastAsia"/>
          <w:color w:val="000000"/>
          <w:kern w:val="0"/>
          <w:sz w:val="27"/>
          <w:szCs w:val="27"/>
        </w:rPr>
      </w:pPr>
      <w:r w:rsidRPr="004C346A">
        <w:rPr>
          <w:rFonts w:ascii="宋体" w:eastAsia="宋体" w:hAnsi="宋体" w:cs="宋体" w:hint="eastAsia"/>
          <w:color w:val="393939"/>
          <w:kern w:val="0"/>
          <w:sz w:val="24"/>
          <w:szCs w:val="24"/>
          <w:shd w:val="clear" w:color="auto" w:fill="FFFFFF"/>
        </w:rPr>
        <w:t>    第五十二条 本法自1996年10月1日起施行。</w:t>
      </w:r>
    </w:p>
    <w:p w:rsidR="004C346A" w:rsidRPr="004C346A" w:rsidRDefault="004C346A">
      <w:bookmarkStart w:id="0" w:name="_GoBack"/>
      <w:bookmarkEnd w:id="0"/>
    </w:p>
    <w:sectPr w:rsidR="004C346A" w:rsidRPr="004C3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848" w:rsidRDefault="00B71848" w:rsidP="004C346A">
      <w:r>
        <w:separator/>
      </w:r>
    </w:p>
  </w:endnote>
  <w:endnote w:type="continuationSeparator" w:id="0">
    <w:p w:rsidR="00B71848" w:rsidRDefault="00B71848" w:rsidP="004C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848" w:rsidRDefault="00B71848" w:rsidP="004C346A">
      <w:r>
        <w:separator/>
      </w:r>
    </w:p>
  </w:footnote>
  <w:footnote w:type="continuationSeparator" w:id="0">
    <w:p w:rsidR="00B71848" w:rsidRDefault="00B71848" w:rsidP="004C3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EE"/>
    <w:rsid w:val="00342052"/>
    <w:rsid w:val="004C346A"/>
    <w:rsid w:val="00B71848"/>
    <w:rsid w:val="00E0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3B6A1"/>
  <w15:chartTrackingRefBased/>
  <w15:docId w15:val="{016E46EE-0937-4D04-A9A8-0371EA0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4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346A"/>
    <w:rPr>
      <w:sz w:val="18"/>
      <w:szCs w:val="18"/>
    </w:rPr>
  </w:style>
  <w:style w:type="paragraph" w:styleId="a5">
    <w:name w:val="footer"/>
    <w:basedOn w:val="a"/>
    <w:link w:val="a6"/>
    <w:uiPriority w:val="99"/>
    <w:unhideWhenUsed/>
    <w:rsid w:val="004C346A"/>
    <w:pPr>
      <w:tabs>
        <w:tab w:val="center" w:pos="4153"/>
        <w:tab w:val="right" w:pos="8306"/>
      </w:tabs>
      <w:snapToGrid w:val="0"/>
      <w:jc w:val="left"/>
    </w:pPr>
    <w:rPr>
      <w:sz w:val="18"/>
      <w:szCs w:val="18"/>
    </w:rPr>
  </w:style>
  <w:style w:type="character" w:customStyle="1" w:styleId="a6">
    <w:name w:val="页脚 字符"/>
    <w:basedOn w:val="a0"/>
    <w:link w:val="a5"/>
    <w:uiPriority w:val="99"/>
    <w:rsid w:val="004C346A"/>
    <w:rPr>
      <w:sz w:val="18"/>
      <w:szCs w:val="18"/>
    </w:rPr>
  </w:style>
  <w:style w:type="character" w:styleId="a7">
    <w:name w:val="Hyperlink"/>
    <w:basedOn w:val="a0"/>
    <w:uiPriority w:val="99"/>
    <w:unhideWhenUsed/>
    <w:rsid w:val="004C346A"/>
    <w:rPr>
      <w:color w:val="0563C1" w:themeColor="hyperlink"/>
      <w:u w:val="single"/>
    </w:rPr>
  </w:style>
  <w:style w:type="paragraph" w:styleId="a8">
    <w:name w:val="Normal (Web)"/>
    <w:basedOn w:val="a"/>
    <w:uiPriority w:val="99"/>
    <w:semiHidden/>
    <w:unhideWhenUsed/>
    <w:rsid w:val="004C34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435031">
      <w:bodyDiv w:val="1"/>
      <w:marLeft w:val="0"/>
      <w:marRight w:val="0"/>
      <w:marTop w:val="0"/>
      <w:marBottom w:val="0"/>
      <w:divBdr>
        <w:top w:val="none" w:sz="0" w:space="0" w:color="auto"/>
        <w:left w:val="none" w:sz="0" w:space="0" w:color="auto"/>
        <w:bottom w:val="none" w:sz="0" w:space="0" w:color="auto"/>
        <w:right w:val="none" w:sz="0" w:space="0" w:color="auto"/>
      </w:divBdr>
    </w:div>
    <w:div w:id="1694306803">
      <w:bodyDiv w:val="1"/>
      <w:marLeft w:val="0"/>
      <w:marRight w:val="0"/>
      <w:marTop w:val="0"/>
      <w:marBottom w:val="0"/>
      <w:divBdr>
        <w:top w:val="none" w:sz="0" w:space="0" w:color="auto"/>
        <w:left w:val="none" w:sz="0" w:space="0" w:color="auto"/>
        <w:bottom w:val="none" w:sz="0" w:space="0" w:color="auto"/>
        <w:right w:val="none" w:sz="0" w:space="0" w:color="auto"/>
      </w:divBdr>
      <w:divsChild>
        <w:div w:id="772475939">
          <w:marLeft w:val="0"/>
          <w:marRight w:val="0"/>
          <w:marTop w:val="150"/>
          <w:marBottom w:val="150"/>
          <w:divBdr>
            <w:top w:val="none" w:sz="0" w:space="0" w:color="auto"/>
            <w:left w:val="none" w:sz="0" w:space="0" w:color="auto"/>
            <w:bottom w:val="none" w:sz="0" w:space="0" w:color="auto"/>
            <w:right w:val="none" w:sz="0" w:space="0" w:color="auto"/>
          </w:divBdr>
        </w:div>
        <w:div w:id="52779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xxgk/xinxifenlei/fdzdgknr/fgzc/flfg/201512/t20151204_12262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1144</Words>
  <Characters>6524</Characters>
  <Application>Microsoft Office Word</Application>
  <DocSecurity>0</DocSecurity>
  <Lines>54</Lines>
  <Paragraphs>15</Paragraphs>
  <ScaleCrop>false</ScaleCrop>
  <Company>Microsoft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2</cp:revision>
  <dcterms:created xsi:type="dcterms:W3CDTF">2021-08-05T09:32:00Z</dcterms:created>
  <dcterms:modified xsi:type="dcterms:W3CDTF">2021-08-05T09:34:00Z</dcterms:modified>
</cp:coreProperties>
</file>